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AD7" w:rsidRPr="000A713F" w:rsidRDefault="00CB6AD7"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CB6AD7" w:rsidRPr="000A713F" w:rsidRDefault="00CB6AD7"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4</w:t>
      </w:r>
      <w:r w:rsidRPr="000A713F">
        <w:rPr>
          <w:rFonts w:ascii="Times New Roman" w:hAnsi="Times New Roman" w:cs="Times New Roman"/>
          <w:sz w:val="24"/>
          <w:szCs w:val="24"/>
        </w:rPr>
        <w:t xml:space="preserve"> от </w:t>
      </w:r>
      <w:r>
        <w:rPr>
          <w:rFonts w:ascii="Times New Roman" w:hAnsi="Times New Roman" w:cs="Times New Roman"/>
          <w:sz w:val="24"/>
          <w:szCs w:val="24"/>
        </w:rPr>
        <w:t>04</w:t>
      </w:r>
      <w:r w:rsidRPr="000A713F">
        <w:rPr>
          <w:rFonts w:ascii="Times New Roman" w:hAnsi="Times New Roman" w:cs="Times New Roman"/>
          <w:sz w:val="24"/>
          <w:szCs w:val="24"/>
        </w:rPr>
        <w:t>.0</w:t>
      </w:r>
      <w:r>
        <w:rPr>
          <w:rFonts w:ascii="Times New Roman" w:hAnsi="Times New Roman" w:cs="Times New Roman"/>
          <w:sz w:val="24"/>
          <w:szCs w:val="24"/>
        </w:rPr>
        <w:t>8</w:t>
      </w:r>
      <w:r w:rsidRPr="000A713F">
        <w:rPr>
          <w:rFonts w:ascii="Times New Roman" w:hAnsi="Times New Roman" w:cs="Times New Roman"/>
          <w:sz w:val="24"/>
          <w:szCs w:val="24"/>
        </w:rPr>
        <w:t>.2022</w:t>
      </w:r>
    </w:p>
    <w:p w:rsidR="00CB6AD7" w:rsidRPr="000A713F" w:rsidRDefault="00CB6AD7"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CB6AD7" w:rsidRPr="000A713F" w:rsidRDefault="00CB6AD7" w:rsidP="00416CBF">
      <w:pPr>
        <w:spacing w:after="0" w:line="240" w:lineRule="auto"/>
        <w:jc w:val="center"/>
        <w:rPr>
          <w:rFonts w:ascii="Times New Roman" w:hAnsi="Times New Roman" w:cs="Times New Roman"/>
          <w:sz w:val="24"/>
          <w:szCs w:val="24"/>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13"/>
        <w:gridCol w:w="3366"/>
        <w:gridCol w:w="831"/>
        <w:gridCol w:w="718"/>
        <w:gridCol w:w="966"/>
        <w:gridCol w:w="1066"/>
        <w:gridCol w:w="3363"/>
        <w:gridCol w:w="2071"/>
      </w:tblGrid>
      <w:tr w:rsidR="00CB6AD7" w:rsidRPr="00A45111" w:rsidTr="00A45111">
        <w:trPr>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68" w:type="pct"/>
            <w:vAlign w:val="center"/>
          </w:tcPr>
          <w:p w:rsidR="00CB6AD7" w:rsidRPr="00A45111" w:rsidRDefault="00CB6AD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CB6AD7" w:rsidRPr="00A45111" w:rsidRDefault="00CB6AD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5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CB6AD7" w:rsidRPr="00A45111" w:rsidTr="00A45111">
        <w:trPr>
          <w:trHeight w:val="751"/>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ЭКГ 110х30х12 с сеткой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ЭКГ 110х30х12 с сеткой</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bookmarkStart w:id="0" w:name="_GoBack"/>
            <w:bookmarkEnd w:id="0"/>
            <w:r w:rsidRPr="00A45111">
              <w:rPr>
                <w:rFonts w:ascii="Times New Roman" w:hAnsi="Times New Roman" w:cs="Times New Roman"/>
                <w:sz w:val="20"/>
                <w:szCs w:val="20"/>
              </w:rPr>
              <w:t>20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595,00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11900,00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714"/>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110х30х12 наружная, чистая</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для гематологического анализатора и др.лабораторного оборудования чистая 110х30х12</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650,00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13000,00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vAlign w:val="center"/>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Бумага ЭКГ 215х25х16</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ЭКГ 215х25х16</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1100,00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33000,00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4</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Глюкоза</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Раствор для инфузий 5% 250мл в пласт.флаконе</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1000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146,12</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146120,00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5</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Марля медицинская</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Марля медицинская отбеленная 10мх90см</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590,00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17700,00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6</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Аммиак</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Раствор для наружного применения 10%-20мл</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40,61</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406,10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7</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Ацетилсалициловая кислота</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Таблетка 500 мг</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19,70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394,00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8</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Атропин</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Раствор для инъекций 1мг/мл №10</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144,50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289,00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9</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Бриллиантовый зеленый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xml:space="preserve"> Раствор спиртовый 1% 20мл</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42,86</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214,30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10</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Вазелин</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Мазь для наружного применения</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51,98</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259,90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11</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Жгут кровоостанавливающий п/автомат, взрослый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Жгут кровоостанавливающий п/автомат, взрослый</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547,71</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2190,84</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12</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Инокаин</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Оксибупрокаин 0,4% 5мл капли глазные</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577,70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1155,40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13</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Пилокарпин</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Глазные капли 10 мг/мл по 10мл</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279,87</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839,61</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14</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Скальпель одноразовый стерильный №13</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Скальпель одноразовый стерильный №13</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80,01</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4000,50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15</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Масло иммерсионное 100гр</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Жидкость 100гр</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3000,00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3000,00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16</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Антиген кардиолипиновый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Carbon-Dac Тест на сифилис, аналог РМП Агглюинация на слайде 250 опр</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16000,00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48000,00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17</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Глассин Рест – цемент стеклополиалкенатный восстановит.хим.отвержд.порошок 10 гр, жидкость 8гр</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Материал пломбировочный стеклополиалкенатный химического отверждения</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4500,00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4500,00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18</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 мл 3-х компонентные</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2000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12,60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25200,00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19</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 мл 3-х компонентные</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5500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13,30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73150,00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20</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10 мл 3-х компонентные</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2000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19,75</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39500,00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21</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 мл 3-х компонентные</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500</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31,08</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15540,00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22</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Наконечник универсальный для дозатора 2-200 мкл №1000</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Наконечник универсальный для дозатора 2-200 мкл №1000</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9000,00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18000,00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23</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Одноразовые простыни в рулоне 200м х 0,8м с перфорацией 100 шт в рулоне</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Одноразовые простыни в рулоне 200м х 0,8м с перфорацией 100 шт в рулоне, плотность 18г/м2 бирюзовый</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9600,00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19200,00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24</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lang w:val="kk-KZ"/>
              </w:rPr>
              <w:t xml:space="preserve">Экс-тест для определения антигена </w:t>
            </w:r>
            <w:r w:rsidRPr="00A45111">
              <w:rPr>
                <w:rFonts w:ascii="Times New Roman" w:hAnsi="Times New Roman" w:cs="Times New Roman"/>
                <w:sz w:val="20"/>
                <w:szCs w:val="20"/>
                <w:lang w:val="en-US"/>
              </w:rPr>
              <w:t>COVID</w:t>
            </w:r>
            <w:r w:rsidRPr="00A45111">
              <w:rPr>
                <w:rFonts w:ascii="Times New Roman" w:hAnsi="Times New Roman" w:cs="Times New Roman"/>
                <w:sz w:val="20"/>
                <w:szCs w:val="20"/>
              </w:rPr>
              <w:t>-19 №20</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Экс-тест для определения антигена COVID-19 №20</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38160,00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76320,00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25</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Агар Эндо для выделения энтеробактерий сухая</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Агар Эндо для выделения энтеробактерий сухая</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28655,00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7163,75</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26</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Среда Плоскирева</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Среда Плоскирева сухая</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33704,00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8426,00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27</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Висмут сульфит агар</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Висмут сульфит агар</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39765,00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9941,25</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28</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Сабуро агар (среда №2 для контроля микробной загрязненности)</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Сабуро агар (среда №2 для контроля микробной загрязненности)</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27970,00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6992,50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29</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Среда Кода для выделения и дифференциации энтеробактерий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Среда Кода для выделения и дифференциации энтеробактерий</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30470,00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7617,50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30</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Среда Пизу для идентиф.коринебактерий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Среда Пизу для идентиф.коринебактерий</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64260,00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12852,00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31</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Теллурит калия 2% 5мл №10, раствор</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Теллурит калия 2% 5мл №10, раствор</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5500,00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5500,00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32</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Пептон сухой ферментативный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Пептон сухой ферментативный</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70345,00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17586,25</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33</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Агар Клиглера для идентификации энтеробанктерий</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Агар Клиглера для идентификации энтеробанктерий</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30981,00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7745,25</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34</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Селенитовый бульон</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Селенитовый бульон</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40181,00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10045,25</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35</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Среда типа АГВ (для определения чувствительности к антибактериальным препаратам)</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Среда типа АГВ (для определения чувствительности к антибактериальным препаратам)</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37605,00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9401,25</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36</w:t>
            </w: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Питательный агар для культивирования микроорганизмов (ГРМ-агар)</w:t>
            </w:r>
          </w:p>
        </w:tc>
        <w:tc>
          <w:tcPr>
            <w:tcW w:w="1062"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Питательный агар для культивирования микроорганизмов (ГРМ-агар)</w:t>
            </w:r>
          </w:p>
        </w:tc>
        <w:tc>
          <w:tcPr>
            <w:tcW w:w="26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кг</w:t>
            </w:r>
          </w:p>
        </w:tc>
        <w:tc>
          <w:tcPr>
            <w:tcW w:w="23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0,25</w:t>
            </w:r>
          </w:p>
        </w:tc>
        <w:tc>
          <w:tcPr>
            <w:tcW w:w="298"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53625,00</w:t>
            </w:r>
          </w:p>
        </w:tc>
        <w:tc>
          <w:tcPr>
            <w:tcW w:w="261"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13406,25</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52" w:type="pct"/>
            <w:vAlign w:val="bottom"/>
          </w:tcPr>
          <w:p w:rsidR="00CB6AD7" w:rsidRPr="00A45111" w:rsidRDefault="00CB6AD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CB6AD7" w:rsidRPr="00A45111" w:rsidTr="00A45111">
        <w:trPr>
          <w:trHeight w:val="403"/>
          <w:jc w:val="center"/>
        </w:trPr>
        <w:tc>
          <w:tcPr>
            <w:tcW w:w="183" w:type="pct"/>
            <w:vAlign w:val="center"/>
          </w:tcPr>
          <w:p w:rsidR="00CB6AD7" w:rsidRPr="00A45111" w:rsidRDefault="00CB6AD7" w:rsidP="00A45111">
            <w:pPr>
              <w:spacing w:after="0" w:line="240" w:lineRule="auto"/>
              <w:jc w:val="center"/>
              <w:rPr>
                <w:rFonts w:ascii="Times New Roman" w:hAnsi="Times New Roman" w:cs="Times New Roman"/>
                <w:sz w:val="20"/>
                <w:szCs w:val="20"/>
              </w:rPr>
            </w:pPr>
          </w:p>
        </w:tc>
        <w:tc>
          <w:tcPr>
            <w:tcW w:w="993" w:type="pct"/>
            <w:vAlign w:val="center"/>
          </w:tcPr>
          <w:p w:rsidR="00CB6AD7" w:rsidRPr="00A45111" w:rsidRDefault="00CB6AD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123" w:type="pct"/>
            <w:gridSpan w:val="5"/>
            <w:vAlign w:val="center"/>
          </w:tcPr>
          <w:p w:rsidR="00CB6AD7" w:rsidRPr="00A45111" w:rsidRDefault="00CB6AD7" w:rsidP="00A45111">
            <w:pPr>
              <w:spacing w:after="0" w:line="240" w:lineRule="auto"/>
              <w:jc w:val="right"/>
              <w:rPr>
                <w:rFonts w:ascii="Times New Roman" w:hAnsi="Times New Roman" w:cs="Times New Roman"/>
                <w:sz w:val="20"/>
                <w:szCs w:val="20"/>
              </w:rPr>
            </w:pPr>
            <w:r w:rsidRPr="00A45111">
              <w:rPr>
                <w:rFonts w:ascii="Times New Roman" w:hAnsi="Times New Roman" w:cs="Times New Roman"/>
                <w:sz w:val="20"/>
                <w:szCs w:val="20"/>
              </w:rPr>
              <w:t>712556,90</w:t>
            </w:r>
          </w:p>
        </w:tc>
        <w:tc>
          <w:tcPr>
            <w:tcW w:w="1050" w:type="pct"/>
            <w:vAlign w:val="center"/>
          </w:tcPr>
          <w:p w:rsidR="00CB6AD7" w:rsidRPr="00A45111" w:rsidRDefault="00CB6AD7" w:rsidP="00A45111">
            <w:pPr>
              <w:spacing w:after="0" w:line="240" w:lineRule="auto"/>
              <w:jc w:val="center"/>
              <w:rPr>
                <w:rFonts w:ascii="Times New Roman" w:hAnsi="Times New Roman" w:cs="Times New Roman"/>
                <w:sz w:val="20"/>
                <w:szCs w:val="20"/>
              </w:rPr>
            </w:pPr>
          </w:p>
        </w:tc>
        <w:tc>
          <w:tcPr>
            <w:tcW w:w="652" w:type="pct"/>
            <w:vAlign w:val="center"/>
          </w:tcPr>
          <w:p w:rsidR="00CB6AD7" w:rsidRPr="00A45111" w:rsidRDefault="00CB6AD7" w:rsidP="00A45111">
            <w:pPr>
              <w:spacing w:after="0" w:line="240" w:lineRule="auto"/>
              <w:jc w:val="center"/>
              <w:rPr>
                <w:rFonts w:ascii="Times New Roman" w:hAnsi="Times New Roman" w:cs="Times New Roman"/>
                <w:sz w:val="20"/>
                <w:szCs w:val="20"/>
              </w:rPr>
            </w:pPr>
          </w:p>
        </w:tc>
      </w:tr>
    </w:tbl>
    <w:p w:rsidR="00CB6AD7" w:rsidRPr="000A713F" w:rsidRDefault="00CB6AD7" w:rsidP="006F57D7">
      <w:pPr>
        <w:spacing w:after="0" w:line="240" w:lineRule="auto"/>
        <w:jc w:val="center"/>
        <w:rPr>
          <w:rFonts w:ascii="Times New Roman" w:hAnsi="Times New Roman" w:cs="Times New Roman"/>
          <w:sz w:val="24"/>
          <w:szCs w:val="24"/>
        </w:rPr>
      </w:pPr>
    </w:p>
    <w:p w:rsidR="00CB6AD7" w:rsidRPr="000A713F" w:rsidRDefault="00CB6AD7"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p>
    <w:p w:rsidR="00CB6AD7" w:rsidRPr="000A713F" w:rsidRDefault="00CB6AD7" w:rsidP="00416CBF">
      <w:pPr>
        <w:spacing w:after="0" w:line="240" w:lineRule="auto"/>
        <w:rPr>
          <w:rFonts w:ascii="Times New Roman" w:hAnsi="Times New Roman" w:cs="Times New Roman"/>
          <w:sz w:val="24"/>
          <w:szCs w:val="24"/>
        </w:rPr>
      </w:pPr>
    </w:p>
    <w:p w:rsidR="00CB6AD7" w:rsidRPr="000A713F" w:rsidRDefault="00CB6AD7"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CB6AD7" w:rsidRPr="000A713F" w:rsidSect="00CA0EE2">
      <w:pgSz w:w="16838" w:h="11906" w:orient="landscape"/>
      <w:pgMar w:top="709" w:right="678" w:bottom="53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7C27"/>
    <w:rsid w:val="00097CAC"/>
    <w:rsid w:val="000A713F"/>
    <w:rsid w:val="000B0A1F"/>
    <w:rsid w:val="000B0BD4"/>
    <w:rsid w:val="000B3CCE"/>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595E"/>
    <w:rsid w:val="0025742C"/>
    <w:rsid w:val="00257AF0"/>
    <w:rsid w:val="002651BA"/>
    <w:rsid w:val="0026677D"/>
    <w:rsid w:val="002713C0"/>
    <w:rsid w:val="00272023"/>
    <w:rsid w:val="002750A5"/>
    <w:rsid w:val="00275D7A"/>
    <w:rsid w:val="0028024D"/>
    <w:rsid w:val="002820FF"/>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A387C"/>
    <w:rsid w:val="003A4727"/>
    <w:rsid w:val="003A505D"/>
    <w:rsid w:val="003B0F64"/>
    <w:rsid w:val="003B165B"/>
    <w:rsid w:val="003B4901"/>
    <w:rsid w:val="003B698F"/>
    <w:rsid w:val="003C09AF"/>
    <w:rsid w:val="003C3C8E"/>
    <w:rsid w:val="003C4AB6"/>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592E"/>
    <w:rsid w:val="00432898"/>
    <w:rsid w:val="00432F51"/>
    <w:rsid w:val="004347F1"/>
    <w:rsid w:val="00436410"/>
    <w:rsid w:val="004413B6"/>
    <w:rsid w:val="00441859"/>
    <w:rsid w:val="00442C7B"/>
    <w:rsid w:val="00444F84"/>
    <w:rsid w:val="004462B2"/>
    <w:rsid w:val="004548E8"/>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31A2"/>
    <w:rsid w:val="00643DB9"/>
    <w:rsid w:val="00644D0F"/>
    <w:rsid w:val="00646F93"/>
    <w:rsid w:val="00657168"/>
    <w:rsid w:val="006575C6"/>
    <w:rsid w:val="006605C2"/>
    <w:rsid w:val="00660C6F"/>
    <w:rsid w:val="0066207C"/>
    <w:rsid w:val="00676C0A"/>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330"/>
    <w:rsid w:val="007B4434"/>
    <w:rsid w:val="007B48C8"/>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194D"/>
    <w:rsid w:val="00D924EB"/>
    <w:rsid w:val="00D95F35"/>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39F0"/>
    <w:rsid w:val="00FA4E40"/>
    <w:rsid w:val="00FA523A"/>
    <w:rsid w:val="00FA684A"/>
    <w:rsid w:val="00FB0E42"/>
    <w:rsid w:val="00FB19AC"/>
    <w:rsid w:val="00FB20C4"/>
    <w:rsid w:val="00FB45B2"/>
    <w:rsid w:val="00FB4B16"/>
    <w:rsid w:val="00FB5166"/>
    <w:rsid w:val="00FB63A9"/>
    <w:rsid w:val="00FB776C"/>
    <w:rsid w:val="00FB7E53"/>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rFonts w:cs="Times New Roman"/>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606811746">
      <w:marLeft w:val="0"/>
      <w:marRight w:val="0"/>
      <w:marTop w:val="0"/>
      <w:marBottom w:val="0"/>
      <w:divBdr>
        <w:top w:val="none" w:sz="0" w:space="0" w:color="auto"/>
        <w:left w:val="none" w:sz="0" w:space="0" w:color="auto"/>
        <w:bottom w:val="none" w:sz="0" w:space="0" w:color="auto"/>
        <w:right w:val="none" w:sz="0" w:space="0" w:color="auto"/>
      </w:divBdr>
    </w:div>
    <w:div w:id="1606811747">
      <w:marLeft w:val="0"/>
      <w:marRight w:val="0"/>
      <w:marTop w:val="0"/>
      <w:marBottom w:val="0"/>
      <w:divBdr>
        <w:top w:val="none" w:sz="0" w:space="0" w:color="auto"/>
        <w:left w:val="none" w:sz="0" w:space="0" w:color="auto"/>
        <w:bottom w:val="none" w:sz="0" w:space="0" w:color="auto"/>
        <w:right w:val="none" w:sz="0" w:space="0" w:color="auto"/>
      </w:divBdr>
    </w:div>
    <w:div w:id="1606811748">
      <w:marLeft w:val="0"/>
      <w:marRight w:val="0"/>
      <w:marTop w:val="0"/>
      <w:marBottom w:val="0"/>
      <w:divBdr>
        <w:top w:val="none" w:sz="0" w:space="0" w:color="auto"/>
        <w:left w:val="none" w:sz="0" w:space="0" w:color="auto"/>
        <w:bottom w:val="none" w:sz="0" w:space="0" w:color="auto"/>
        <w:right w:val="none" w:sz="0" w:space="0" w:color="auto"/>
      </w:divBdr>
    </w:div>
    <w:div w:id="1606811749">
      <w:marLeft w:val="0"/>
      <w:marRight w:val="0"/>
      <w:marTop w:val="0"/>
      <w:marBottom w:val="0"/>
      <w:divBdr>
        <w:top w:val="none" w:sz="0" w:space="0" w:color="auto"/>
        <w:left w:val="none" w:sz="0" w:space="0" w:color="auto"/>
        <w:bottom w:val="none" w:sz="0" w:space="0" w:color="auto"/>
        <w:right w:val="none" w:sz="0" w:space="0" w:color="auto"/>
      </w:divBdr>
    </w:div>
    <w:div w:id="1606811751">
      <w:marLeft w:val="0"/>
      <w:marRight w:val="0"/>
      <w:marTop w:val="0"/>
      <w:marBottom w:val="0"/>
      <w:divBdr>
        <w:top w:val="none" w:sz="0" w:space="0" w:color="auto"/>
        <w:left w:val="none" w:sz="0" w:space="0" w:color="auto"/>
        <w:bottom w:val="none" w:sz="0" w:space="0" w:color="auto"/>
        <w:right w:val="none" w:sz="0" w:space="0" w:color="auto"/>
      </w:divBdr>
    </w:div>
    <w:div w:id="1606811752">
      <w:marLeft w:val="0"/>
      <w:marRight w:val="0"/>
      <w:marTop w:val="0"/>
      <w:marBottom w:val="0"/>
      <w:divBdr>
        <w:top w:val="none" w:sz="0" w:space="0" w:color="auto"/>
        <w:left w:val="none" w:sz="0" w:space="0" w:color="auto"/>
        <w:bottom w:val="none" w:sz="0" w:space="0" w:color="auto"/>
        <w:right w:val="none" w:sz="0" w:space="0" w:color="auto"/>
      </w:divBdr>
    </w:div>
    <w:div w:id="1606811753">
      <w:marLeft w:val="0"/>
      <w:marRight w:val="0"/>
      <w:marTop w:val="0"/>
      <w:marBottom w:val="0"/>
      <w:divBdr>
        <w:top w:val="none" w:sz="0" w:space="0" w:color="auto"/>
        <w:left w:val="none" w:sz="0" w:space="0" w:color="auto"/>
        <w:bottom w:val="none" w:sz="0" w:space="0" w:color="auto"/>
        <w:right w:val="none" w:sz="0" w:space="0" w:color="auto"/>
      </w:divBdr>
    </w:div>
    <w:div w:id="1606811754">
      <w:marLeft w:val="0"/>
      <w:marRight w:val="0"/>
      <w:marTop w:val="0"/>
      <w:marBottom w:val="0"/>
      <w:divBdr>
        <w:top w:val="none" w:sz="0" w:space="0" w:color="auto"/>
        <w:left w:val="none" w:sz="0" w:space="0" w:color="auto"/>
        <w:bottom w:val="none" w:sz="0" w:space="0" w:color="auto"/>
        <w:right w:val="none" w:sz="0" w:space="0" w:color="auto"/>
      </w:divBdr>
    </w:div>
    <w:div w:id="1606811755">
      <w:marLeft w:val="0"/>
      <w:marRight w:val="0"/>
      <w:marTop w:val="0"/>
      <w:marBottom w:val="0"/>
      <w:divBdr>
        <w:top w:val="none" w:sz="0" w:space="0" w:color="auto"/>
        <w:left w:val="none" w:sz="0" w:space="0" w:color="auto"/>
        <w:bottom w:val="none" w:sz="0" w:space="0" w:color="auto"/>
        <w:right w:val="none" w:sz="0" w:space="0" w:color="auto"/>
      </w:divBdr>
    </w:div>
    <w:div w:id="1606811756">
      <w:marLeft w:val="0"/>
      <w:marRight w:val="0"/>
      <w:marTop w:val="0"/>
      <w:marBottom w:val="0"/>
      <w:divBdr>
        <w:top w:val="none" w:sz="0" w:space="0" w:color="auto"/>
        <w:left w:val="none" w:sz="0" w:space="0" w:color="auto"/>
        <w:bottom w:val="none" w:sz="0" w:space="0" w:color="auto"/>
        <w:right w:val="none" w:sz="0" w:space="0" w:color="auto"/>
      </w:divBdr>
      <w:divsChild>
        <w:div w:id="1606811763">
          <w:marLeft w:val="0"/>
          <w:marRight w:val="0"/>
          <w:marTop w:val="0"/>
          <w:marBottom w:val="0"/>
          <w:divBdr>
            <w:top w:val="none" w:sz="0" w:space="0" w:color="auto"/>
            <w:left w:val="none" w:sz="0" w:space="0" w:color="auto"/>
            <w:bottom w:val="none" w:sz="0" w:space="0" w:color="auto"/>
            <w:right w:val="none" w:sz="0" w:space="0" w:color="auto"/>
          </w:divBdr>
        </w:div>
      </w:divsChild>
    </w:div>
    <w:div w:id="1606811757">
      <w:marLeft w:val="0"/>
      <w:marRight w:val="0"/>
      <w:marTop w:val="0"/>
      <w:marBottom w:val="0"/>
      <w:divBdr>
        <w:top w:val="none" w:sz="0" w:space="0" w:color="auto"/>
        <w:left w:val="none" w:sz="0" w:space="0" w:color="auto"/>
        <w:bottom w:val="none" w:sz="0" w:space="0" w:color="auto"/>
        <w:right w:val="none" w:sz="0" w:space="0" w:color="auto"/>
      </w:divBdr>
      <w:divsChild>
        <w:div w:id="1606811750">
          <w:marLeft w:val="0"/>
          <w:marRight w:val="0"/>
          <w:marTop w:val="75"/>
          <w:marBottom w:val="0"/>
          <w:divBdr>
            <w:top w:val="none" w:sz="0" w:space="0" w:color="auto"/>
            <w:left w:val="none" w:sz="0" w:space="0" w:color="auto"/>
            <w:bottom w:val="none" w:sz="0" w:space="0" w:color="auto"/>
            <w:right w:val="none" w:sz="0" w:space="0" w:color="auto"/>
          </w:divBdr>
        </w:div>
      </w:divsChild>
    </w:div>
    <w:div w:id="1606811758">
      <w:marLeft w:val="0"/>
      <w:marRight w:val="0"/>
      <w:marTop w:val="0"/>
      <w:marBottom w:val="0"/>
      <w:divBdr>
        <w:top w:val="none" w:sz="0" w:space="0" w:color="auto"/>
        <w:left w:val="none" w:sz="0" w:space="0" w:color="auto"/>
        <w:bottom w:val="none" w:sz="0" w:space="0" w:color="auto"/>
        <w:right w:val="none" w:sz="0" w:space="0" w:color="auto"/>
      </w:divBdr>
      <w:divsChild>
        <w:div w:id="1606811759">
          <w:marLeft w:val="0"/>
          <w:marRight w:val="0"/>
          <w:marTop w:val="0"/>
          <w:marBottom w:val="0"/>
          <w:divBdr>
            <w:top w:val="none" w:sz="0" w:space="0" w:color="auto"/>
            <w:left w:val="none" w:sz="0" w:space="0" w:color="auto"/>
            <w:bottom w:val="none" w:sz="0" w:space="0" w:color="auto"/>
            <w:right w:val="none" w:sz="0" w:space="0" w:color="auto"/>
          </w:divBdr>
        </w:div>
      </w:divsChild>
    </w:div>
    <w:div w:id="1606811761">
      <w:marLeft w:val="0"/>
      <w:marRight w:val="0"/>
      <w:marTop w:val="0"/>
      <w:marBottom w:val="0"/>
      <w:divBdr>
        <w:top w:val="none" w:sz="0" w:space="0" w:color="auto"/>
        <w:left w:val="none" w:sz="0" w:space="0" w:color="auto"/>
        <w:bottom w:val="none" w:sz="0" w:space="0" w:color="auto"/>
        <w:right w:val="none" w:sz="0" w:space="0" w:color="auto"/>
      </w:divBdr>
    </w:div>
    <w:div w:id="1606811762">
      <w:marLeft w:val="0"/>
      <w:marRight w:val="0"/>
      <w:marTop w:val="0"/>
      <w:marBottom w:val="0"/>
      <w:divBdr>
        <w:top w:val="none" w:sz="0" w:space="0" w:color="auto"/>
        <w:left w:val="none" w:sz="0" w:space="0" w:color="auto"/>
        <w:bottom w:val="none" w:sz="0" w:space="0" w:color="auto"/>
        <w:right w:val="none" w:sz="0" w:space="0" w:color="auto"/>
      </w:divBdr>
    </w:div>
    <w:div w:id="1606811764">
      <w:marLeft w:val="0"/>
      <w:marRight w:val="0"/>
      <w:marTop w:val="0"/>
      <w:marBottom w:val="0"/>
      <w:divBdr>
        <w:top w:val="none" w:sz="0" w:space="0" w:color="auto"/>
        <w:left w:val="none" w:sz="0" w:space="0" w:color="auto"/>
        <w:bottom w:val="none" w:sz="0" w:space="0" w:color="auto"/>
        <w:right w:val="none" w:sz="0" w:space="0" w:color="auto"/>
      </w:divBdr>
    </w:div>
    <w:div w:id="1606811765">
      <w:marLeft w:val="0"/>
      <w:marRight w:val="0"/>
      <w:marTop w:val="0"/>
      <w:marBottom w:val="0"/>
      <w:divBdr>
        <w:top w:val="none" w:sz="0" w:space="0" w:color="auto"/>
        <w:left w:val="none" w:sz="0" w:space="0" w:color="auto"/>
        <w:bottom w:val="none" w:sz="0" w:space="0" w:color="auto"/>
        <w:right w:val="none" w:sz="0" w:space="0" w:color="auto"/>
      </w:divBdr>
    </w:div>
    <w:div w:id="1606811767">
      <w:marLeft w:val="0"/>
      <w:marRight w:val="0"/>
      <w:marTop w:val="0"/>
      <w:marBottom w:val="0"/>
      <w:divBdr>
        <w:top w:val="none" w:sz="0" w:space="0" w:color="auto"/>
        <w:left w:val="none" w:sz="0" w:space="0" w:color="auto"/>
        <w:bottom w:val="none" w:sz="0" w:space="0" w:color="auto"/>
        <w:right w:val="none" w:sz="0" w:space="0" w:color="auto"/>
      </w:divBdr>
    </w:div>
    <w:div w:id="1606811768">
      <w:marLeft w:val="0"/>
      <w:marRight w:val="0"/>
      <w:marTop w:val="0"/>
      <w:marBottom w:val="0"/>
      <w:divBdr>
        <w:top w:val="none" w:sz="0" w:space="0" w:color="auto"/>
        <w:left w:val="none" w:sz="0" w:space="0" w:color="auto"/>
        <w:bottom w:val="none" w:sz="0" w:space="0" w:color="auto"/>
        <w:right w:val="none" w:sz="0" w:space="0" w:color="auto"/>
      </w:divBdr>
    </w:div>
    <w:div w:id="1606811769">
      <w:marLeft w:val="0"/>
      <w:marRight w:val="0"/>
      <w:marTop w:val="0"/>
      <w:marBottom w:val="0"/>
      <w:divBdr>
        <w:top w:val="none" w:sz="0" w:space="0" w:color="auto"/>
        <w:left w:val="none" w:sz="0" w:space="0" w:color="auto"/>
        <w:bottom w:val="none" w:sz="0" w:space="0" w:color="auto"/>
        <w:right w:val="none" w:sz="0" w:space="0" w:color="auto"/>
      </w:divBdr>
      <w:divsChild>
        <w:div w:id="1606811760">
          <w:marLeft w:val="0"/>
          <w:marRight w:val="0"/>
          <w:marTop w:val="75"/>
          <w:marBottom w:val="0"/>
          <w:divBdr>
            <w:top w:val="none" w:sz="0" w:space="0" w:color="auto"/>
            <w:left w:val="none" w:sz="0" w:space="0" w:color="auto"/>
            <w:bottom w:val="none" w:sz="0" w:space="0" w:color="auto"/>
            <w:right w:val="none" w:sz="0" w:space="0" w:color="auto"/>
          </w:divBdr>
        </w:div>
      </w:divsChild>
    </w:div>
    <w:div w:id="1606811770">
      <w:marLeft w:val="0"/>
      <w:marRight w:val="0"/>
      <w:marTop w:val="0"/>
      <w:marBottom w:val="0"/>
      <w:divBdr>
        <w:top w:val="none" w:sz="0" w:space="0" w:color="auto"/>
        <w:left w:val="none" w:sz="0" w:space="0" w:color="auto"/>
        <w:bottom w:val="none" w:sz="0" w:space="0" w:color="auto"/>
        <w:right w:val="none" w:sz="0" w:space="0" w:color="auto"/>
      </w:divBdr>
    </w:div>
    <w:div w:id="1606811771">
      <w:marLeft w:val="0"/>
      <w:marRight w:val="0"/>
      <w:marTop w:val="0"/>
      <w:marBottom w:val="0"/>
      <w:divBdr>
        <w:top w:val="none" w:sz="0" w:space="0" w:color="auto"/>
        <w:left w:val="none" w:sz="0" w:space="0" w:color="auto"/>
        <w:bottom w:val="none" w:sz="0" w:space="0" w:color="auto"/>
        <w:right w:val="none" w:sz="0" w:space="0" w:color="auto"/>
      </w:divBdr>
    </w:div>
    <w:div w:id="1606811772">
      <w:marLeft w:val="0"/>
      <w:marRight w:val="0"/>
      <w:marTop w:val="0"/>
      <w:marBottom w:val="0"/>
      <w:divBdr>
        <w:top w:val="none" w:sz="0" w:space="0" w:color="auto"/>
        <w:left w:val="none" w:sz="0" w:space="0" w:color="auto"/>
        <w:bottom w:val="none" w:sz="0" w:space="0" w:color="auto"/>
        <w:right w:val="none" w:sz="0" w:space="0" w:color="auto"/>
      </w:divBdr>
    </w:div>
    <w:div w:id="1606811773">
      <w:marLeft w:val="0"/>
      <w:marRight w:val="0"/>
      <w:marTop w:val="0"/>
      <w:marBottom w:val="0"/>
      <w:divBdr>
        <w:top w:val="none" w:sz="0" w:space="0" w:color="auto"/>
        <w:left w:val="none" w:sz="0" w:space="0" w:color="auto"/>
        <w:bottom w:val="none" w:sz="0" w:space="0" w:color="auto"/>
        <w:right w:val="none" w:sz="0" w:space="0" w:color="auto"/>
      </w:divBdr>
      <w:divsChild>
        <w:div w:id="1606811766">
          <w:marLeft w:val="0"/>
          <w:marRight w:val="0"/>
          <w:marTop w:val="0"/>
          <w:marBottom w:val="0"/>
          <w:divBdr>
            <w:top w:val="none" w:sz="0" w:space="0" w:color="auto"/>
            <w:left w:val="none" w:sz="0" w:space="0" w:color="auto"/>
            <w:bottom w:val="none" w:sz="0" w:space="0" w:color="auto"/>
            <w:right w:val="none" w:sz="0" w:space="0" w:color="auto"/>
          </w:divBdr>
        </w:div>
      </w:divsChild>
    </w:div>
    <w:div w:id="1606811774">
      <w:marLeft w:val="0"/>
      <w:marRight w:val="0"/>
      <w:marTop w:val="0"/>
      <w:marBottom w:val="0"/>
      <w:divBdr>
        <w:top w:val="none" w:sz="0" w:space="0" w:color="auto"/>
        <w:left w:val="none" w:sz="0" w:space="0" w:color="auto"/>
        <w:bottom w:val="none" w:sz="0" w:space="0" w:color="auto"/>
        <w:right w:val="none" w:sz="0" w:space="0" w:color="auto"/>
      </w:divBdr>
    </w:div>
    <w:div w:id="1606811775">
      <w:marLeft w:val="0"/>
      <w:marRight w:val="0"/>
      <w:marTop w:val="0"/>
      <w:marBottom w:val="0"/>
      <w:divBdr>
        <w:top w:val="none" w:sz="0" w:space="0" w:color="auto"/>
        <w:left w:val="none" w:sz="0" w:space="0" w:color="auto"/>
        <w:bottom w:val="none" w:sz="0" w:space="0" w:color="auto"/>
        <w:right w:val="none" w:sz="0" w:space="0" w:color="auto"/>
      </w:divBdr>
    </w:div>
    <w:div w:id="1606811776">
      <w:marLeft w:val="0"/>
      <w:marRight w:val="0"/>
      <w:marTop w:val="0"/>
      <w:marBottom w:val="0"/>
      <w:divBdr>
        <w:top w:val="none" w:sz="0" w:space="0" w:color="auto"/>
        <w:left w:val="none" w:sz="0" w:space="0" w:color="auto"/>
        <w:bottom w:val="none" w:sz="0" w:space="0" w:color="auto"/>
        <w:right w:val="none" w:sz="0" w:space="0" w:color="auto"/>
      </w:divBdr>
    </w:div>
    <w:div w:id="1606811777">
      <w:marLeft w:val="0"/>
      <w:marRight w:val="0"/>
      <w:marTop w:val="0"/>
      <w:marBottom w:val="0"/>
      <w:divBdr>
        <w:top w:val="none" w:sz="0" w:space="0" w:color="auto"/>
        <w:left w:val="none" w:sz="0" w:space="0" w:color="auto"/>
        <w:bottom w:val="none" w:sz="0" w:space="0" w:color="auto"/>
        <w:right w:val="none" w:sz="0" w:space="0" w:color="auto"/>
      </w:divBdr>
    </w:div>
    <w:div w:id="1606811778">
      <w:marLeft w:val="0"/>
      <w:marRight w:val="0"/>
      <w:marTop w:val="0"/>
      <w:marBottom w:val="0"/>
      <w:divBdr>
        <w:top w:val="none" w:sz="0" w:space="0" w:color="auto"/>
        <w:left w:val="none" w:sz="0" w:space="0" w:color="auto"/>
        <w:bottom w:val="none" w:sz="0" w:space="0" w:color="auto"/>
        <w:right w:val="none" w:sz="0" w:space="0" w:color="auto"/>
      </w:divBdr>
    </w:div>
    <w:div w:id="1606811779">
      <w:marLeft w:val="0"/>
      <w:marRight w:val="0"/>
      <w:marTop w:val="0"/>
      <w:marBottom w:val="0"/>
      <w:divBdr>
        <w:top w:val="none" w:sz="0" w:space="0" w:color="auto"/>
        <w:left w:val="none" w:sz="0" w:space="0" w:color="auto"/>
        <w:bottom w:val="none" w:sz="0" w:space="0" w:color="auto"/>
        <w:right w:val="none" w:sz="0" w:space="0" w:color="auto"/>
      </w:divBdr>
    </w:div>
    <w:div w:id="1606811780">
      <w:marLeft w:val="0"/>
      <w:marRight w:val="0"/>
      <w:marTop w:val="0"/>
      <w:marBottom w:val="0"/>
      <w:divBdr>
        <w:top w:val="none" w:sz="0" w:space="0" w:color="auto"/>
        <w:left w:val="none" w:sz="0" w:space="0" w:color="auto"/>
        <w:bottom w:val="none" w:sz="0" w:space="0" w:color="auto"/>
        <w:right w:val="none" w:sz="0" w:space="0" w:color="auto"/>
      </w:divBdr>
    </w:div>
    <w:div w:id="1606811781">
      <w:marLeft w:val="0"/>
      <w:marRight w:val="0"/>
      <w:marTop w:val="0"/>
      <w:marBottom w:val="0"/>
      <w:divBdr>
        <w:top w:val="none" w:sz="0" w:space="0" w:color="auto"/>
        <w:left w:val="none" w:sz="0" w:space="0" w:color="auto"/>
        <w:bottom w:val="none" w:sz="0" w:space="0" w:color="auto"/>
        <w:right w:val="none" w:sz="0" w:space="0" w:color="auto"/>
      </w:divBdr>
    </w:div>
    <w:div w:id="1606811782">
      <w:marLeft w:val="0"/>
      <w:marRight w:val="0"/>
      <w:marTop w:val="0"/>
      <w:marBottom w:val="0"/>
      <w:divBdr>
        <w:top w:val="none" w:sz="0" w:space="0" w:color="auto"/>
        <w:left w:val="none" w:sz="0" w:space="0" w:color="auto"/>
        <w:bottom w:val="none" w:sz="0" w:space="0" w:color="auto"/>
        <w:right w:val="none" w:sz="0" w:space="0" w:color="auto"/>
      </w:divBdr>
    </w:div>
    <w:div w:id="1606811783">
      <w:marLeft w:val="0"/>
      <w:marRight w:val="0"/>
      <w:marTop w:val="0"/>
      <w:marBottom w:val="0"/>
      <w:divBdr>
        <w:top w:val="none" w:sz="0" w:space="0" w:color="auto"/>
        <w:left w:val="none" w:sz="0" w:space="0" w:color="auto"/>
        <w:bottom w:val="none" w:sz="0" w:space="0" w:color="auto"/>
        <w:right w:val="none" w:sz="0" w:space="0" w:color="auto"/>
      </w:divBdr>
    </w:div>
    <w:div w:id="1606811784">
      <w:marLeft w:val="0"/>
      <w:marRight w:val="0"/>
      <w:marTop w:val="0"/>
      <w:marBottom w:val="0"/>
      <w:divBdr>
        <w:top w:val="none" w:sz="0" w:space="0" w:color="auto"/>
        <w:left w:val="none" w:sz="0" w:space="0" w:color="auto"/>
        <w:bottom w:val="none" w:sz="0" w:space="0" w:color="auto"/>
        <w:right w:val="none" w:sz="0" w:space="0" w:color="auto"/>
      </w:divBdr>
    </w:div>
    <w:div w:id="1606811785">
      <w:marLeft w:val="0"/>
      <w:marRight w:val="0"/>
      <w:marTop w:val="0"/>
      <w:marBottom w:val="0"/>
      <w:divBdr>
        <w:top w:val="none" w:sz="0" w:space="0" w:color="auto"/>
        <w:left w:val="none" w:sz="0" w:space="0" w:color="auto"/>
        <w:bottom w:val="none" w:sz="0" w:space="0" w:color="auto"/>
        <w:right w:val="none" w:sz="0" w:space="0" w:color="auto"/>
      </w:divBdr>
    </w:div>
    <w:div w:id="1606811786">
      <w:marLeft w:val="0"/>
      <w:marRight w:val="0"/>
      <w:marTop w:val="0"/>
      <w:marBottom w:val="0"/>
      <w:divBdr>
        <w:top w:val="none" w:sz="0" w:space="0" w:color="auto"/>
        <w:left w:val="none" w:sz="0" w:space="0" w:color="auto"/>
        <w:bottom w:val="none" w:sz="0" w:space="0" w:color="auto"/>
        <w:right w:val="none" w:sz="0" w:space="0" w:color="auto"/>
      </w:divBdr>
    </w:div>
    <w:div w:id="1606811787">
      <w:marLeft w:val="0"/>
      <w:marRight w:val="0"/>
      <w:marTop w:val="0"/>
      <w:marBottom w:val="0"/>
      <w:divBdr>
        <w:top w:val="none" w:sz="0" w:space="0" w:color="auto"/>
        <w:left w:val="none" w:sz="0" w:space="0" w:color="auto"/>
        <w:bottom w:val="none" w:sz="0" w:space="0" w:color="auto"/>
        <w:right w:val="none" w:sz="0" w:space="0" w:color="auto"/>
      </w:divBdr>
    </w:div>
    <w:div w:id="1606811788">
      <w:marLeft w:val="0"/>
      <w:marRight w:val="0"/>
      <w:marTop w:val="0"/>
      <w:marBottom w:val="0"/>
      <w:divBdr>
        <w:top w:val="none" w:sz="0" w:space="0" w:color="auto"/>
        <w:left w:val="none" w:sz="0" w:space="0" w:color="auto"/>
        <w:bottom w:val="none" w:sz="0" w:space="0" w:color="auto"/>
        <w:right w:val="none" w:sz="0" w:space="0" w:color="auto"/>
      </w:divBdr>
    </w:div>
    <w:div w:id="1606811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30821</TotalTime>
  <Pages>4</Pages>
  <Words>1106</Words>
  <Characters>6308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316</cp:revision>
  <cp:lastPrinted>2022-06-03T09:54:00Z</cp:lastPrinted>
  <dcterms:created xsi:type="dcterms:W3CDTF">2018-05-25T08:38:00Z</dcterms:created>
  <dcterms:modified xsi:type="dcterms:W3CDTF">2022-08-04T09:18:00Z</dcterms:modified>
</cp:coreProperties>
</file>